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C322" w14:textId="61F5899B" w:rsidR="00F360A7" w:rsidRPr="002D61D8" w:rsidRDefault="00F360A7" w:rsidP="002D61D8">
      <w:pPr>
        <w:pStyle w:val="Subtitle"/>
      </w:pPr>
      <w:r w:rsidRPr="002D61D8">
        <w:t>SAMPLE PROJECT PLAN</w:t>
      </w:r>
    </w:p>
    <w:p w14:paraId="5524B645" w14:textId="61DDE68E" w:rsidR="00345DCB" w:rsidRDefault="00345DCB" w:rsidP="00357A6A">
      <w:pPr>
        <w:pStyle w:val="Title"/>
      </w:pPr>
      <w:r w:rsidRPr="009E45FC">
        <w:t>Upgrade from Windows 10 to Windows 11</w:t>
      </w:r>
    </w:p>
    <w:p w14:paraId="6FDE05A5" w14:textId="77777777" w:rsidR="00031FC6" w:rsidRPr="00031FC6" w:rsidRDefault="00031FC6" w:rsidP="00357A6A"/>
    <w:tbl>
      <w:tblPr>
        <w:tblStyle w:val="TableGrid"/>
        <w:tblW w:w="9360" w:type="dxa"/>
        <w:tblCellMar>
          <w:top w:w="72" w:type="dxa"/>
          <w:left w:w="72" w:type="dxa"/>
          <w:bottom w:w="72" w:type="dxa"/>
          <w:right w:w="72" w:type="dxa"/>
        </w:tblCellMar>
        <w:tblLook w:val="04A0" w:firstRow="1" w:lastRow="0" w:firstColumn="1" w:lastColumn="0" w:noHBand="0" w:noVBand="1"/>
      </w:tblPr>
      <w:tblGrid>
        <w:gridCol w:w="2160"/>
        <w:gridCol w:w="2160"/>
        <w:gridCol w:w="5040"/>
      </w:tblGrid>
      <w:tr w:rsidR="00031FC6" w14:paraId="28988C7B" w14:textId="77777777" w:rsidTr="00031FC6">
        <w:tc>
          <w:tcPr>
            <w:tcW w:w="2160" w:type="dxa"/>
            <w:shd w:val="clear" w:color="auto" w:fill="0A3266"/>
          </w:tcPr>
          <w:p w14:paraId="39783A19" w14:textId="5B9E2F00" w:rsidR="00031FC6" w:rsidRPr="00357A6A" w:rsidRDefault="00031FC6" w:rsidP="00357A6A">
            <w:pPr>
              <w:jc w:val="center"/>
              <w:rPr>
                <w:b/>
                <w:bCs/>
                <w:color w:val="FFFFFF" w:themeColor="background1"/>
              </w:rPr>
            </w:pPr>
            <w:r w:rsidRPr="00357A6A">
              <w:rPr>
                <w:b/>
                <w:bCs/>
                <w:color w:val="FFFFFF" w:themeColor="background1"/>
              </w:rPr>
              <w:t>Revision Date</w:t>
            </w:r>
          </w:p>
        </w:tc>
        <w:tc>
          <w:tcPr>
            <w:tcW w:w="2160" w:type="dxa"/>
            <w:shd w:val="clear" w:color="auto" w:fill="0A3266"/>
          </w:tcPr>
          <w:p w14:paraId="5459A53A" w14:textId="606D136E" w:rsidR="00031FC6" w:rsidRPr="00357A6A" w:rsidRDefault="00031FC6" w:rsidP="00357A6A">
            <w:pPr>
              <w:jc w:val="center"/>
              <w:rPr>
                <w:b/>
                <w:bCs/>
                <w:color w:val="FFFFFF" w:themeColor="background1"/>
              </w:rPr>
            </w:pPr>
            <w:r w:rsidRPr="00357A6A">
              <w:rPr>
                <w:b/>
                <w:bCs/>
                <w:color w:val="FFFFFF" w:themeColor="background1"/>
              </w:rPr>
              <w:t>Approval Date</w:t>
            </w:r>
          </w:p>
        </w:tc>
        <w:tc>
          <w:tcPr>
            <w:tcW w:w="5040" w:type="dxa"/>
            <w:shd w:val="clear" w:color="auto" w:fill="0A3266"/>
          </w:tcPr>
          <w:p w14:paraId="0E247B3D" w14:textId="1B18A8ED" w:rsidR="00031FC6" w:rsidRPr="00357A6A" w:rsidRDefault="00031FC6" w:rsidP="00357A6A">
            <w:pPr>
              <w:jc w:val="center"/>
              <w:rPr>
                <w:b/>
                <w:bCs/>
                <w:color w:val="FFFFFF" w:themeColor="background1"/>
              </w:rPr>
            </w:pPr>
            <w:r w:rsidRPr="00357A6A">
              <w:rPr>
                <w:b/>
                <w:bCs/>
                <w:color w:val="FFFFFF" w:themeColor="background1"/>
              </w:rPr>
              <w:t>Comments</w:t>
            </w:r>
          </w:p>
        </w:tc>
      </w:tr>
      <w:tr w:rsidR="00031FC6" w14:paraId="15EA4D6D" w14:textId="77777777" w:rsidTr="00031FC6">
        <w:tc>
          <w:tcPr>
            <w:tcW w:w="2160" w:type="dxa"/>
          </w:tcPr>
          <w:p w14:paraId="7F5222CC" w14:textId="78BE8CC1" w:rsidR="00031FC6" w:rsidRDefault="00FC4352" w:rsidP="000F6FB8">
            <w:pPr>
              <w:jc w:val="center"/>
            </w:pPr>
            <w:r>
              <w:t>MM/DD/YYYY</w:t>
            </w:r>
          </w:p>
        </w:tc>
        <w:tc>
          <w:tcPr>
            <w:tcW w:w="2160" w:type="dxa"/>
          </w:tcPr>
          <w:p w14:paraId="0D0DDD54" w14:textId="778DC88F" w:rsidR="00031FC6" w:rsidRDefault="00FC4352" w:rsidP="000F6FB8">
            <w:pPr>
              <w:jc w:val="center"/>
            </w:pPr>
            <w:r>
              <w:t>MM/DD/YYYY</w:t>
            </w:r>
          </w:p>
        </w:tc>
        <w:tc>
          <w:tcPr>
            <w:tcW w:w="5040" w:type="dxa"/>
          </w:tcPr>
          <w:p w14:paraId="67F0A4AC" w14:textId="77777777" w:rsidR="00031FC6" w:rsidRDefault="00031FC6" w:rsidP="00357A6A"/>
        </w:tc>
      </w:tr>
    </w:tbl>
    <w:p w14:paraId="7C71520D" w14:textId="2E4F0536" w:rsidR="00345DCB" w:rsidRPr="00F360A7" w:rsidRDefault="00345DCB" w:rsidP="002D61D8">
      <w:pPr>
        <w:pStyle w:val="Heading1"/>
      </w:pPr>
      <w:r w:rsidRPr="00F360A7">
        <w:t xml:space="preserve">Executive </w:t>
      </w:r>
      <w:r w:rsidRPr="002D61D8">
        <w:t>Summary</w:t>
      </w:r>
    </w:p>
    <w:p w14:paraId="2265A686" w14:textId="7BB428F9" w:rsidR="00345DCB" w:rsidRPr="00F360A7" w:rsidRDefault="00345DCB" w:rsidP="00357A6A">
      <w:pPr>
        <w:pStyle w:val="ListParagraph"/>
        <w:numPr>
          <w:ilvl w:val="0"/>
          <w:numId w:val="11"/>
        </w:numPr>
      </w:pPr>
      <w:r w:rsidRPr="00F360A7">
        <w:rPr>
          <w:b/>
          <w:bCs/>
        </w:rPr>
        <w:t>Objective:</w:t>
      </w:r>
      <w:r w:rsidRPr="00F360A7">
        <w:t xml:space="preserve"> Upgrade all systems from Windows 10 to Windows 11</w:t>
      </w:r>
    </w:p>
    <w:p w14:paraId="30B22870" w14:textId="5BE50315" w:rsidR="00345DCB" w:rsidRPr="00F360A7" w:rsidRDefault="00345DCB" w:rsidP="00357A6A">
      <w:pPr>
        <w:pStyle w:val="ListParagraph"/>
        <w:numPr>
          <w:ilvl w:val="0"/>
          <w:numId w:val="11"/>
        </w:numPr>
      </w:pPr>
      <w:r w:rsidRPr="00F360A7">
        <w:rPr>
          <w:b/>
          <w:bCs/>
        </w:rPr>
        <w:t>Scope:</w:t>
      </w:r>
      <w:r w:rsidRPr="00F360A7">
        <w:t xml:space="preserve"> Evaluate, plan, and implement the upgrade across applicable devices</w:t>
      </w:r>
    </w:p>
    <w:p w14:paraId="3DC62EA6" w14:textId="6A4B0AAA" w:rsidR="00345DCB" w:rsidRPr="00F360A7" w:rsidRDefault="00345DCB" w:rsidP="00357A6A">
      <w:pPr>
        <w:pStyle w:val="ListParagraph"/>
        <w:numPr>
          <w:ilvl w:val="0"/>
          <w:numId w:val="11"/>
        </w:numPr>
      </w:pPr>
      <w:r w:rsidRPr="00F360A7">
        <w:rPr>
          <w:b/>
          <w:bCs/>
        </w:rPr>
        <w:t>Duration:</w:t>
      </w:r>
      <w:r w:rsidRPr="00F360A7">
        <w:t xml:space="preserve"> 6 months</w:t>
      </w:r>
    </w:p>
    <w:p w14:paraId="76F86799" w14:textId="3E1C2CCC" w:rsidR="00345DCB" w:rsidRPr="00F360A7" w:rsidRDefault="00345DCB" w:rsidP="00357A6A">
      <w:pPr>
        <w:pStyle w:val="ListParagraph"/>
        <w:numPr>
          <w:ilvl w:val="0"/>
          <w:numId w:val="11"/>
        </w:numPr>
      </w:pPr>
      <w:r w:rsidRPr="00F360A7">
        <w:rPr>
          <w:b/>
          <w:bCs/>
        </w:rPr>
        <w:t>Stakeholders:</w:t>
      </w:r>
      <w:r w:rsidRPr="00F360A7">
        <w:t xml:space="preserve"> IT Department, </w:t>
      </w:r>
      <w:r w:rsidR="008A1D5C">
        <w:t>MSP, Business Unit Management, End Users</w:t>
      </w:r>
    </w:p>
    <w:p w14:paraId="796B82DE" w14:textId="5B3B04BF" w:rsidR="00B66517" w:rsidRPr="00F360A7" w:rsidRDefault="00D4650E" w:rsidP="002D61D8">
      <w:pPr>
        <w:pStyle w:val="Heading1"/>
      </w:pPr>
      <w:r>
        <w:t>Purpose</w:t>
      </w:r>
    </w:p>
    <w:p w14:paraId="2C8884D9" w14:textId="77777777" w:rsidR="00B66517" w:rsidRPr="00F360A7" w:rsidRDefault="00B66517" w:rsidP="00357A6A">
      <w:pPr>
        <w:pStyle w:val="ListParagraph"/>
        <w:numPr>
          <w:ilvl w:val="0"/>
          <w:numId w:val="12"/>
        </w:numPr>
      </w:pPr>
      <w:r w:rsidRPr="00F360A7">
        <w:rPr>
          <w:b/>
          <w:bCs/>
        </w:rPr>
        <w:t>Enhanced Security:</w:t>
      </w:r>
      <w:r w:rsidRPr="00F360A7">
        <w:t xml:space="preserve"> Implement Windows 11’s improved security measures.</w:t>
      </w:r>
    </w:p>
    <w:p w14:paraId="0C5D3899" w14:textId="2BFDCB2A" w:rsidR="00B66517" w:rsidRPr="00F360A7" w:rsidRDefault="00B66517" w:rsidP="00357A6A">
      <w:pPr>
        <w:pStyle w:val="ListParagraph"/>
        <w:numPr>
          <w:ilvl w:val="0"/>
          <w:numId w:val="12"/>
        </w:numPr>
      </w:pPr>
      <w:r w:rsidRPr="00F360A7">
        <w:rPr>
          <w:b/>
          <w:bCs/>
        </w:rPr>
        <w:t>Improved User Experience:</w:t>
      </w:r>
      <w:r w:rsidRPr="00F360A7">
        <w:t xml:space="preserve"> Provide employees with modern and efficient systems.</w:t>
      </w:r>
    </w:p>
    <w:p w14:paraId="5A9979F2" w14:textId="589C5FF8" w:rsidR="00320BCB" w:rsidRPr="00320BCB" w:rsidRDefault="00B66517" w:rsidP="00357A6A">
      <w:pPr>
        <w:pStyle w:val="ListParagraph"/>
        <w:numPr>
          <w:ilvl w:val="0"/>
          <w:numId w:val="12"/>
        </w:numPr>
        <w:rPr>
          <w:sz w:val="22"/>
          <w:szCs w:val="22"/>
        </w:rPr>
      </w:pPr>
      <w:r w:rsidRPr="00F360A7">
        <w:rPr>
          <w:b/>
          <w:bCs/>
        </w:rPr>
        <w:t>System Standardization:</w:t>
      </w:r>
      <w:r w:rsidRPr="00F360A7">
        <w:t xml:space="preserve"> Ensure consistent </w:t>
      </w:r>
      <w:r w:rsidR="00B4691E">
        <w:t>organization-wide endpoint configuration</w:t>
      </w:r>
      <w:r w:rsidRPr="00F360A7">
        <w:t>.</w:t>
      </w:r>
    </w:p>
    <w:p w14:paraId="5458E7BD" w14:textId="6AD13C4D" w:rsidR="00345DCB" w:rsidRPr="00F360A7" w:rsidRDefault="00D4650E" w:rsidP="002D61D8">
      <w:pPr>
        <w:pStyle w:val="Heading1"/>
      </w:pPr>
      <w:r>
        <w:t>Tasks</w:t>
      </w:r>
      <w:r w:rsidR="00345DCB" w:rsidRPr="00F360A7">
        <w:t xml:space="preserve"> and Milestones</w:t>
      </w:r>
    </w:p>
    <w:p w14:paraId="71BF2DE6" w14:textId="77777777" w:rsidR="00345DCB" w:rsidRDefault="00345DCB" w:rsidP="002D61D8">
      <w:pPr>
        <w:pStyle w:val="Heading2"/>
      </w:pPr>
      <w:r w:rsidRPr="009E45FC">
        <w:t xml:space="preserve">Phase 1: Planning and </w:t>
      </w:r>
      <w:r w:rsidRPr="002D61D8">
        <w:t>Assessment</w:t>
      </w:r>
      <w:r w:rsidRPr="009E45FC">
        <w:t xml:space="preserve"> (0–1 month)</w:t>
      </w:r>
    </w:p>
    <w:p w14:paraId="43D0C262" w14:textId="6DC57BC6" w:rsidR="006210F9" w:rsidRDefault="006210F9" w:rsidP="006210F9">
      <w:pPr>
        <w:pStyle w:val="ListParagraph"/>
        <w:numPr>
          <w:ilvl w:val="0"/>
          <w:numId w:val="13"/>
        </w:numPr>
      </w:pPr>
      <w:r w:rsidRPr="00F360A7">
        <w:t xml:space="preserve">Develop a project timeline and </w:t>
      </w:r>
      <w:r>
        <w:t xml:space="preserve">estimated </w:t>
      </w:r>
      <w:r w:rsidRPr="00F360A7">
        <w:t>budget.</w:t>
      </w:r>
    </w:p>
    <w:p w14:paraId="0DF52DC3" w14:textId="177D7A7D" w:rsidR="00345DCB" w:rsidRPr="00F360A7" w:rsidRDefault="00345DCB" w:rsidP="00357A6A">
      <w:pPr>
        <w:pStyle w:val="ListParagraph"/>
        <w:numPr>
          <w:ilvl w:val="0"/>
          <w:numId w:val="13"/>
        </w:numPr>
      </w:pPr>
      <w:r w:rsidRPr="00F360A7">
        <w:t xml:space="preserve">Inventory all devices and systems </w:t>
      </w:r>
      <w:r w:rsidRPr="00357A6A">
        <w:t>running</w:t>
      </w:r>
      <w:r w:rsidRPr="00F360A7">
        <w:t xml:space="preserve"> Windows 10.</w:t>
      </w:r>
    </w:p>
    <w:p w14:paraId="11E93D9A" w14:textId="478DB5F0" w:rsidR="00345DCB" w:rsidRPr="00F360A7" w:rsidRDefault="00345DCB" w:rsidP="00357A6A">
      <w:pPr>
        <w:pStyle w:val="ListParagraph"/>
        <w:numPr>
          <w:ilvl w:val="0"/>
          <w:numId w:val="13"/>
        </w:numPr>
      </w:pPr>
      <w:r w:rsidRPr="00F360A7">
        <w:t>Verify compatibility with Windows 11 requirements (</w:t>
      </w:r>
      <w:r w:rsidR="00B918D0">
        <w:t xml:space="preserve">e.g., </w:t>
      </w:r>
      <w:r w:rsidRPr="00F360A7">
        <w:t>hardware, software, peripherals</w:t>
      </w:r>
      <w:r w:rsidR="00B918D0">
        <w:t>, etc.</w:t>
      </w:r>
      <w:r w:rsidRPr="00F360A7">
        <w:t>).</w:t>
      </w:r>
    </w:p>
    <w:p w14:paraId="3BECF36B" w14:textId="77777777" w:rsidR="00345DCB" w:rsidRPr="00F360A7" w:rsidRDefault="00345DCB" w:rsidP="00357A6A">
      <w:pPr>
        <w:pStyle w:val="ListParagraph"/>
        <w:numPr>
          <w:ilvl w:val="0"/>
          <w:numId w:val="13"/>
        </w:numPr>
      </w:pPr>
      <w:r w:rsidRPr="00F360A7">
        <w:t>Identify critical systems and prioritize their upgrade.</w:t>
      </w:r>
    </w:p>
    <w:p w14:paraId="05ECFD74" w14:textId="12ADFA88" w:rsidR="00B66517" w:rsidRPr="00B66517" w:rsidRDefault="00B66517" w:rsidP="00357A6A">
      <w:r>
        <w:rPr>
          <w:b/>
          <w:bCs/>
        </w:rPr>
        <w:t xml:space="preserve">Deliverable: </w:t>
      </w:r>
      <w:r w:rsidRPr="00357A6A">
        <w:t>Compatibility</w:t>
      </w:r>
      <w:r>
        <w:t xml:space="preserve"> and readiness report</w:t>
      </w:r>
      <w:r w:rsidR="006210F9">
        <w:t xml:space="preserve">, including </w:t>
      </w:r>
      <w:r w:rsidR="00A65752">
        <w:t>budget projections</w:t>
      </w:r>
    </w:p>
    <w:p w14:paraId="5A92D5D2" w14:textId="77777777" w:rsidR="00345DCB" w:rsidRDefault="00345DCB" w:rsidP="002D61D8">
      <w:pPr>
        <w:pStyle w:val="Heading2"/>
      </w:pPr>
      <w:r w:rsidRPr="00F360A7">
        <w:t>Phase 2: Pilot Testing (1–2 months)</w:t>
      </w:r>
    </w:p>
    <w:p w14:paraId="7DA84D3E" w14:textId="77777777" w:rsidR="00345DCB" w:rsidRDefault="00345DCB" w:rsidP="00357A6A">
      <w:pPr>
        <w:pStyle w:val="ListParagraph"/>
        <w:numPr>
          <w:ilvl w:val="0"/>
          <w:numId w:val="14"/>
        </w:numPr>
      </w:pPr>
      <w:r w:rsidRPr="00F360A7">
        <w:t>Select a pilot group of users and systems for testing.</w:t>
      </w:r>
    </w:p>
    <w:p w14:paraId="18860A2A" w14:textId="535E3814" w:rsidR="006210F9" w:rsidRPr="00F360A7" w:rsidRDefault="006210F9" w:rsidP="00357A6A">
      <w:pPr>
        <w:pStyle w:val="ListParagraph"/>
        <w:numPr>
          <w:ilvl w:val="0"/>
          <w:numId w:val="14"/>
        </w:numPr>
      </w:pPr>
      <w:r>
        <w:t>Backup critical data for pilot systems.</w:t>
      </w:r>
    </w:p>
    <w:p w14:paraId="3CA848F9" w14:textId="77777777" w:rsidR="00345DCB" w:rsidRPr="00F360A7" w:rsidRDefault="00345DCB" w:rsidP="00357A6A">
      <w:pPr>
        <w:pStyle w:val="ListParagraph"/>
        <w:numPr>
          <w:ilvl w:val="0"/>
          <w:numId w:val="14"/>
        </w:numPr>
      </w:pPr>
      <w:r w:rsidRPr="00F360A7">
        <w:t>Test hardware, software, and network performance on Windows 11.</w:t>
      </w:r>
    </w:p>
    <w:p w14:paraId="1F043F44" w14:textId="77777777" w:rsidR="00345DCB" w:rsidRPr="00F360A7" w:rsidRDefault="00345DCB" w:rsidP="00357A6A">
      <w:pPr>
        <w:pStyle w:val="ListParagraph"/>
        <w:numPr>
          <w:ilvl w:val="0"/>
          <w:numId w:val="14"/>
        </w:numPr>
      </w:pPr>
      <w:r w:rsidRPr="00F360A7">
        <w:t>Identify and resolve potential compatibility issues.</w:t>
      </w:r>
    </w:p>
    <w:p w14:paraId="00FBE022" w14:textId="142630B8" w:rsidR="00345DCB" w:rsidRDefault="00345DCB" w:rsidP="00357A6A">
      <w:pPr>
        <w:pStyle w:val="ListParagraph"/>
        <w:numPr>
          <w:ilvl w:val="0"/>
          <w:numId w:val="14"/>
        </w:numPr>
      </w:pPr>
      <w:r w:rsidRPr="00F360A7">
        <w:t xml:space="preserve">Collect feedback from pilot </w:t>
      </w:r>
      <w:r w:rsidR="006210F9">
        <w:t>group</w:t>
      </w:r>
      <w:r w:rsidRPr="00F360A7">
        <w:t>.</w:t>
      </w:r>
    </w:p>
    <w:p w14:paraId="0FC6262C" w14:textId="2B6282E0" w:rsidR="00B66517" w:rsidRPr="00B66517" w:rsidRDefault="00B66517" w:rsidP="00357A6A">
      <w:r>
        <w:rPr>
          <w:b/>
          <w:bCs/>
        </w:rPr>
        <w:t xml:space="preserve">Deliverable: </w:t>
      </w:r>
      <w:r>
        <w:t>Successful pilot test completion with documented results</w:t>
      </w:r>
    </w:p>
    <w:p w14:paraId="707AA395" w14:textId="77777777" w:rsidR="00345DCB" w:rsidRDefault="00345DCB" w:rsidP="002D61D8">
      <w:pPr>
        <w:pStyle w:val="Heading2"/>
      </w:pPr>
      <w:r w:rsidRPr="00F360A7">
        <w:t>Phase 3: Rollout Preparation (2–3 months)</w:t>
      </w:r>
    </w:p>
    <w:p w14:paraId="28B55F7E" w14:textId="59727863" w:rsidR="00345DCB" w:rsidRDefault="00345DCB" w:rsidP="00357A6A">
      <w:pPr>
        <w:pStyle w:val="ListParagraph"/>
        <w:numPr>
          <w:ilvl w:val="0"/>
          <w:numId w:val="15"/>
        </w:numPr>
      </w:pPr>
      <w:r w:rsidRPr="00F360A7">
        <w:t>Create a detailed deployment plan.</w:t>
      </w:r>
    </w:p>
    <w:p w14:paraId="2463F62A" w14:textId="609A2B42" w:rsidR="006210F9" w:rsidRPr="00F360A7" w:rsidRDefault="006210F9" w:rsidP="006210F9">
      <w:pPr>
        <w:pStyle w:val="ListParagraph"/>
        <w:numPr>
          <w:ilvl w:val="0"/>
          <w:numId w:val="15"/>
        </w:numPr>
      </w:pPr>
      <w:r>
        <w:t>Backup critical data for all systems.</w:t>
      </w:r>
    </w:p>
    <w:p w14:paraId="684B91F9" w14:textId="1ECE5715" w:rsidR="00345DCB" w:rsidRPr="00F360A7" w:rsidRDefault="00345DCB" w:rsidP="00357A6A">
      <w:pPr>
        <w:pStyle w:val="ListParagraph"/>
        <w:numPr>
          <w:ilvl w:val="0"/>
          <w:numId w:val="15"/>
        </w:numPr>
      </w:pPr>
      <w:r w:rsidRPr="00F360A7">
        <w:t>Develop and distribute user training materials (</w:t>
      </w:r>
      <w:r w:rsidR="008E25C5">
        <w:t xml:space="preserve">e.g., </w:t>
      </w:r>
      <w:r w:rsidRPr="00F360A7">
        <w:t>guides, FAQs</w:t>
      </w:r>
      <w:r w:rsidR="008E25C5">
        <w:t>, etc.</w:t>
      </w:r>
      <w:r w:rsidRPr="00F360A7">
        <w:t>).</w:t>
      </w:r>
    </w:p>
    <w:p w14:paraId="362BFD6F" w14:textId="77777777" w:rsidR="00345DCB" w:rsidRDefault="00345DCB" w:rsidP="00357A6A">
      <w:pPr>
        <w:pStyle w:val="ListParagraph"/>
        <w:numPr>
          <w:ilvl w:val="0"/>
          <w:numId w:val="15"/>
        </w:numPr>
      </w:pPr>
      <w:r w:rsidRPr="00F360A7">
        <w:t>Communicate rollout plans to all stakeholders.</w:t>
      </w:r>
    </w:p>
    <w:p w14:paraId="1880B40D" w14:textId="7D438AB0" w:rsidR="00B66517" w:rsidRPr="00B66517" w:rsidRDefault="00B66517" w:rsidP="00357A6A">
      <w:r>
        <w:rPr>
          <w:b/>
          <w:bCs/>
        </w:rPr>
        <w:lastRenderedPageBreak/>
        <w:t xml:space="preserve">Deliverable: </w:t>
      </w:r>
      <w:r>
        <w:t>Approval for deployment</w:t>
      </w:r>
    </w:p>
    <w:p w14:paraId="1BE83DE5" w14:textId="77777777" w:rsidR="00345DCB" w:rsidRDefault="00345DCB" w:rsidP="002D61D8">
      <w:pPr>
        <w:pStyle w:val="Heading2"/>
      </w:pPr>
      <w:r w:rsidRPr="00F360A7">
        <w:t>Phase 4: Deployment (3–5 months)</w:t>
      </w:r>
    </w:p>
    <w:p w14:paraId="5B0ADE90" w14:textId="1ABF2090" w:rsidR="00345DCB" w:rsidRPr="00F360A7" w:rsidRDefault="00345DCB" w:rsidP="00357A6A">
      <w:pPr>
        <w:pStyle w:val="ListParagraph"/>
        <w:numPr>
          <w:ilvl w:val="0"/>
          <w:numId w:val="16"/>
        </w:numPr>
      </w:pPr>
      <w:r w:rsidRPr="00F360A7">
        <w:t>Begin phased rollout to departments.</w:t>
      </w:r>
    </w:p>
    <w:p w14:paraId="4B091DBE" w14:textId="77777777" w:rsidR="00345DCB" w:rsidRPr="00F360A7" w:rsidRDefault="00345DCB" w:rsidP="00357A6A">
      <w:pPr>
        <w:pStyle w:val="ListParagraph"/>
        <w:numPr>
          <w:ilvl w:val="0"/>
          <w:numId w:val="16"/>
        </w:numPr>
      </w:pPr>
      <w:r w:rsidRPr="00F360A7">
        <w:t>Monitor progress and address issues in real-time.</w:t>
      </w:r>
    </w:p>
    <w:p w14:paraId="37C6DD49" w14:textId="60554F14" w:rsidR="00345DCB" w:rsidRDefault="00345DCB" w:rsidP="00357A6A">
      <w:pPr>
        <w:pStyle w:val="ListParagraph"/>
        <w:numPr>
          <w:ilvl w:val="0"/>
          <w:numId w:val="16"/>
        </w:numPr>
      </w:pPr>
      <w:r w:rsidRPr="00F360A7">
        <w:t xml:space="preserve">Conduct post-upgrade </w:t>
      </w:r>
      <w:r w:rsidR="00D4650E">
        <w:t>verification</w:t>
      </w:r>
      <w:r w:rsidRPr="00F360A7">
        <w:t xml:space="preserve"> for performance and stability.</w:t>
      </w:r>
    </w:p>
    <w:p w14:paraId="1E05AF88" w14:textId="291B67CC" w:rsidR="00B66517" w:rsidRPr="00B66517" w:rsidRDefault="00B66517" w:rsidP="00357A6A">
      <w:r>
        <w:rPr>
          <w:b/>
          <w:bCs/>
        </w:rPr>
        <w:t xml:space="preserve">Deliverable: </w:t>
      </w:r>
      <w:r>
        <w:t>Deployment completion report</w:t>
      </w:r>
    </w:p>
    <w:p w14:paraId="7B663250" w14:textId="77777777" w:rsidR="00345DCB" w:rsidRDefault="00345DCB" w:rsidP="002D61D8">
      <w:pPr>
        <w:pStyle w:val="Heading2"/>
      </w:pPr>
      <w:r w:rsidRPr="00F360A7">
        <w:t>Phase 5: Post-Implementation Support (5–6 months)</w:t>
      </w:r>
    </w:p>
    <w:p w14:paraId="4C33B536" w14:textId="76E6634F" w:rsidR="00345DCB" w:rsidRPr="00F360A7" w:rsidRDefault="00345DCB" w:rsidP="00357A6A">
      <w:pPr>
        <w:pStyle w:val="ListParagraph"/>
        <w:numPr>
          <w:ilvl w:val="0"/>
          <w:numId w:val="17"/>
        </w:numPr>
      </w:pPr>
      <w:r w:rsidRPr="00F360A7">
        <w:t>Provide support for user issues.</w:t>
      </w:r>
    </w:p>
    <w:p w14:paraId="76BBA3B1" w14:textId="77777777" w:rsidR="00345DCB" w:rsidRPr="00F360A7" w:rsidRDefault="00345DCB" w:rsidP="00357A6A">
      <w:pPr>
        <w:pStyle w:val="ListParagraph"/>
        <w:numPr>
          <w:ilvl w:val="0"/>
          <w:numId w:val="17"/>
        </w:numPr>
      </w:pPr>
      <w:r w:rsidRPr="00F360A7">
        <w:t>Monitor system performance for anomalies.</w:t>
      </w:r>
    </w:p>
    <w:p w14:paraId="1783BDA8" w14:textId="77777777" w:rsidR="00345DCB" w:rsidRDefault="00345DCB" w:rsidP="00357A6A">
      <w:pPr>
        <w:pStyle w:val="ListParagraph"/>
        <w:numPr>
          <w:ilvl w:val="0"/>
          <w:numId w:val="17"/>
        </w:numPr>
      </w:pPr>
      <w:r w:rsidRPr="00F360A7">
        <w:t>Gather feedback for continuous improvement.</w:t>
      </w:r>
    </w:p>
    <w:p w14:paraId="52352C61" w14:textId="712C47DA" w:rsidR="00B66517" w:rsidRPr="00B66517" w:rsidRDefault="00B66517" w:rsidP="00357A6A">
      <w:r>
        <w:rPr>
          <w:b/>
          <w:bCs/>
        </w:rPr>
        <w:t xml:space="preserve">Deliverable: </w:t>
      </w:r>
      <w:r>
        <w:t>Project closeout with post-implementation review</w:t>
      </w:r>
    </w:p>
    <w:p w14:paraId="53FB47CF" w14:textId="2D28AB41" w:rsidR="00345DCB" w:rsidRPr="00F360A7" w:rsidRDefault="00345DCB" w:rsidP="002D61D8">
      <w:pPr>
        <w:pStyle w:val="Heading1"/>
      </w:pPr>
      <w:r w:rsidRPr="00F360A7">
        <w:t>Resources and Budget</w:t>
      </w:r>
    </w:p>
    <w:p w14:paraId="69FEC16A" w14:textId="77777777" w:rsidR="00345DCB" w:rsidRPr="00357A6A" w:rsidRDefault="00345DCB" w:rsidP="00357A6A">
      <w:pPr>
        <w:rPr>
          <w:b/>
          <w:bCs/>
        </w:rPr>
      </w:pPr>
      <w:r w:rsidRPr="00357A6A">
        <w:rPr>
          <w:b/>
          <w:bCs/>
        </w:rPr>
        <w:t>Human Resources:</w:t>
      </w:r>
    </w:p>
    <w:p w14:paraId="6D4EEAF4" w14:textId="1A463F08" w:rsidR="00345DCB" w:rsidRDefault="00345DCB" w:rsidP="00357A6A">
      <w:pPr>
        <w:pStyle w:val="ListParagraph"/>
        <w:numPr>
          <w:ilvl w:val="0"/>
          <w:numId w:val="18"/>
        </w:numPr>
      </w:pPr>
      <w:r w:rsidRPr="00F360A7">
        <w:t>IT staff for installation and support</w:t>
      </w:r>
    </w:p>
    <w:p w14:paraId="1C098E22" w14:textId="3DD472D6" w:rsidR="00357A6A" w:rsidRDefault="00357A6A" w:rsidP="00357A6A">
      <w:pPr>
        <w:pStyle w:val="ListParagraph"/>
        <w:numPr>
          <w:ilvl w:val="0"/>
          <w:numId w:val="18"/>
        </w:numPr>
      </w:pPr>
      <w:r>
        <w:t>Business unit management and end-user collaboration</w:t>
      </w:r>
    </w:p>
    <w:p w14:paraId="0CF8A620" w14:textId="5DC3DBCF" w:rsidR="00276FD8" w:rsidRPr="00F360A7" w:rsidRDefault="00276FD8" w:rsidP="00357A6A">
      <w:pPr>
        <w:pStyle w:val="ListParagraph"/>
        <w:numPr>
          <w:ilvl w:val="0"/>
          <w:numId w:val="18"/>
        </w:numPr>
      </w:pPr>
      <w:r>
        <w:t>Managed service provider (MSP) for installation and support</w:t>
      </w:r>
    </w:p>
    <w:p w14:paraId="07987E9E" w14:textId="3C27CBD7" w:rsidR="00345DCB" w:rsidRPr="00F360A7" w:rsidRDefault="00276FD8" w:rsidP="00357A6A">
      <w:pPr>
        <w:pStyle w:val="ListParagraph"/>
        <w:numPr>
          <w:ilvl w:val="0"/>
          <w:numId w:val="18"/>
        </w:numPr>
      </w:pPr>
      <w:r>
        <w:t xml:space="preserve">Additional third-party support </w:t>
      </w:r>
      <w:r w:rsidR="00345DCB" w:rsidRPr="00F360A7">
        <w:t>for advanced compatibility issues</w:t>
      </w:r>
    </w:p>
    <w:p w14:paraId="003E1D23" w14:textId="77777777" w:rsidR="00345DCB" w:rsidRPr="00357A6A" w:rsidRDefault="00345DCB" w:rsidP="00357A6A">
      <w:pPr>
        <w:rPr>
          <w:b/>
          <w:bCs/>
        </w:rPr>
      </w:pPr>
      <w:r w:rsidRPr="00357A6A">
        <w:rPr>
          <w:b/>
          <w:bCs/>
        </w:rPr>
        <w:t>Technology:</w:t>
      </w:r>
    </w:p>
    <w:p w14:paraId="69F081DB" w14:textId="0750A71E" w:rsidR="00345DCB" w:rsidRDefault="00345DCB" w:rsidP="00357A6A">
      <w:pPr>
        <w:pStyle w:val="ListParagraph"/>
        <w:numPr>
          <w:ilvl w:val="0"/>
          <w:numId w:val="19"/>
        </w:numPr>
      </w:pPr>
      <w:r w:rsidRPr="00F360A7">
        <w:t>Device upgrades for compatibility</w:t>
      </w:r>
    </w:p>
    <w:p w14:paraId="50679C52" w14:textId="06BC94A5" w:rsidR="00357A6A" w:rsidRPr="00357A6A" w:rsidRDefault="00357A6A" w:rsidP="00357A6A">
      <w:pPr>
        <w:pStyle w:val="ListParagraph"/>
        <w:numPr>
          <w:ilvl w:val="0"/>
          <w:numId w:val="19"/>
        </w:numPr>
      </w:pPr>
      <w:r>
        <w:t>Software upgrade costs</w:t>
      </w:r>
    </w:p>
    <w:p w14:paraId="4AB2ACF7" w14:textId="16243D4E" w:rsidR="00345DCB" w:rsidRDefault="00345DCB" w:rsidP="00357A6A">
      <w:pPr>
        <w:pStyle w:val="ListParagraph"/>
        <w:numPr>
          <w:ilvl w:val="0"/>
          <w:numId w:val="19"/>
        </w:numPr>
      </w:pPr>
      <w:r w:rsidRPr="00F360A7">
        <w:t>Tools for automated deployment and monitoring</w:t>
      </w:r>
    </w:p>
    <w:p w14:paraId="4F094895" w14:textId="53185A3C" w:rsidR="009E5A63" w:rsidRPr="009E5A63" w:rsidRDefault="00345DCB">
      <w:pPr>
        <w:rPr>
          <w:sz w:val="22"/>
          <w:szCs w:val="22"/>
        </w:rPr>
      </w:pPr>
      <w:r w:rsidRPr="00F360A7">
        <w:rPr>
          <w:b/>
          <w:bCs/>
        </w:rPr>
        <w:t>Budget:</w:t>
      </w:r>
      <w:r w:rsidRPr="00F360A7">
        <w:t xml:space="preserve"> [Insert estimated cost]</w:t>
      </w:r>
    </w:p>
    <w:p w14:paraId="4530B4C6" w14:textId="40C7E0D6" w:rsidR="00345DCB" w:rsidRPr="00F360A7" w:rsidRDefault="00345DCB" w:rsidP="002D61D8">
      <w:pPr>
        <w:pStyle w:val="Heading1"/>
      </w:pPr>
      <w:r w:rsidRPr="00F360A7">
        <w:t>Risk Assessment</w:t>
      </w:r>
    </w:p>
    <w:tbl>
      <w:tblPr>
        <w:tblStyle w:val="TableGrid"/>
        <w:tblW w:w="9360" w:type="dxa"/>
        <w:tblCellMar>
          <w:top w:w="72" w:type="dxa"/>
          <w:left w:w="72" w:type="dxa"/>
          <w:bottom w:w="72" w:type="dxa"/>
          <w:right w:w="72" w:type="dxa"/>
        </w:tblCellMar>
        <w:tblLook w:val="04A0" w:firstRow="1" w:lastRow="0" w:firstColumn="1" w:lastColumn="0" w:noHBand="0" w:noVBand="1"/>
      </w:tblPr>
      <w:tblGrid>
        <w:gridCol w:w="2880"/>
        <w:gridCol w:w="1440"/>
        <w:gridCol w:w="5040"/>
      </w:tblGrid>
      <w:tr w:rsidR="00F360A7" w:rsidRPr="00F360A7" w14:paraId="4DF724BC" w14:textId="77777777" w:rsidTr="009E45FC">
        <w:tc>
          <w:tcPr>
            <w:tcW w:w="2880" w:type="dxa"/>
            <w:shd w:val="clear" w:color="auto" w:fill="0A3266"/>
          </w:tcPr>
          <w:p w14:paraId="7112FE97" w14:textId="1C78EE28" w:rsidR="00345DCB" w:rsidRPr="00357A6A" w:rsidRDefault="00345DCB" w:rsidP="00357A6A">
            <w:pPr>
              <w:jc w:val="center"/>
              <w:rPr>
                <w:b/>
                <w:bCs/>
                <w:color w:val="FFFFFF" w:themeColor="background1"/>
              </w:rPr>
            </w:pPr>
            <w:r w:rsidRPr="00357A6A">
              <w:rPr>
                <w:b/>
                <w:bCs/>
                <w:color w:val="FFFFFF" w:themeColor="background1"/>
              </w:rPr>
              <w:t>Risk</w:t>
            </w:r>
          </w:p>
        </w:tc>
        <w:tc>
          <w:tcPr>
            <w:tcW w:w="1440" w:type="dxa"/>
            <w:shd w:val="clear" w:color="auto" w:fill="0A3266"/>
            <w:vAlign w:val="center"/>
          </w:tcPr>
          <w:p w14:paraId="00BDDD52" w14:textId="552F8E74" w:rsidR="00345DCB" w:rsidRPr="00357A6A" w:rsidRDefault="00345DCB" w:rsidP="00357A6A">
            <w:pPr>
              <w:jc w:val="center"/>
              <w:rPr>
                <w:b/>
                <w:bCs/>
                <w:color w:val="FFFFFF" w:themeColor="background1"/>
              </w:rPr>
            </w:pPr>
            <w:r w:rsidRPr="00357A6A">
              <w:rPr>
                <w:b/>
                <w:bCs/>
                <w:color w:val="FFFFFF" w:themeColor="background1"/>
              </w:rPr>
              <w:t>Risk Level</w:t>
            </w:r>
          </w:p>
        </w:tc>
        <w:tc>
          <w:tcPr>
            <w:tcW w:w="5040" w:type="dxa"/>
            <w:shd w:val="clear" w:color="auto" w:fill="0A3266"/>
          </w:tcPr>
          <w:p w14:paraId="0EE04D03" w14:textId="42B2089B" w:rsidR="00345DCB" w:rsidRPr="00357A6A" w:rsidRDefault="00345DCB" w:rsidP="00357A6A">
            <w:pPr>
              <w:jc w:val="center"/>
              <w:rPr>
                <w:b/>
                <w:bCs/>
                <w:color w:val="FFFFFF" w:themeColor="background1"/>
              </w:rPr>
            </w:pPr>
            <w:r w:rsidRPr="00357A6A">
              <w:rPr>
                <w:b/>
                <w:bCs/>
                <w:color w:val="FFFFFF" w:themeColor="background1"/>
              </w:rPr>
              <w:t>Risk Management Plan</w:t>
            </w:r>
          </w:p>
        </w:tc>
      </w:tr>
      <w:tr w:rsidR="00F360A7" w:rsidRPr="00F360A7" w14:paraId="4227C39C" w14:textId="77777777" w:rsidTr="00F360A7">
        <w:tc>
          <w:tcPr>
            <w:tcW w:w="2880" w:type="dxa"/>
          </w:tcPr>
          <w:p w14:paraId="1D4931EE" w14:textId="51DF7FE3" w:rsidR="00345DCB" w:rsidRPr="00F360A7" w:rsidRDefault="00345DCB" w:rsidP="00357A6A">
            <w:r w:rsidRPr="00F360A7">
              <w:t>Hardware incompatibility</w:t>
            </w:r>
          </w:p>
        </w:tc>
        <w:tc>
          <w:tcPr>
            <w:tcW w:w="1440" w:type="dxa"/>
            <w:shd w:val="clear" w:color="auto" w:fill="FF504A"/>
            <w:vAlign w:val="center"/>
          </w:tcPr>
          <w:p w14:paraId="1C0D295E" w14:textId="16399F18" w:rsidR="00345DCB" w:rsidRPr="00357A6A" w:rsidRDefault="00345DCB" w:rsidP="00357A6A">
            <w:pPr>
              <w:jc w:val="center"/>
              <w:rPr>
                <w:b/>
                <w:bCs/>
                <w:color w:val="FFFFFF" w:themeColor="background1"/>
              </w:rPr>
            </w:pPr>
            <w:r w:rsidRPr="00357A6A">
              <w:rPr>
                <w:b/>
                <w:bCs/>
                <w:color w:val="FFFFFF" w:themeColor="background1"/>
              </w:rPr>
              <w:t>High</w:t>
            </w:r>
          </w:p>
        </w:tc>
        <w:tc>
          <w:tcPr>
            <w:tcW w:w="5040" w:type="dxa"/>
          </w:tcPr>
          <w:p w14:paraId="3FF8AD93" w14:textId="60B8F695" w:rsidR="00345DCB" w:rsidRPr="00F360A7" w:rsidRDefault="00345DCB" w:rsidP="00357A6A">
            <w:r w:rsidRPr="00F360A7">
              <w:t>Identify outdated hardware during assessment and replace as needed.</w:t>
            </w:r>
          </w:p>
        </w:tc>
      </w:tr>
      <w:tr w:rsidR="00B918D0" w:rsidRPr="00F360A7" w14:paraId="655C4A2E" w14:textId="77777777" w:rsidTr="00F360A7">
        <w:tc>
          <w:tcPr>
            <w:tcW w:w="2880" w:type="dxa"/>
          </w:tcPr>
          <w:p w14:paraId="1C8EDB86" w14:textId="356FADBA" w:rsidR="00B918D0" w:rsidRPr="00F360A7" w:rsidRDefault="00B918D0" w:rsidP="00357A6A">
            <w:r w:rsidRPr="00F360A7">
              <w:t xml:space="preserve">Software </w:t>
            </w:r>
            <w:r>
              <w:t>in</w:t>
            </w:r>
            <w:r w:rsidRPr="00F360A7">
              <w:t>compatibility</w:t>
            </w:r>
          </w:p>
        </w:tc>
        <w:tc>
          <w:tcPr>
            <w:tcW w:w="1440" w:type="dxa"/>
            <w:shd w:val="clear" w:color="auto" w:fill="FF504A"/>
            <w:vAlign w:val="center"/>
          </w:tcPr>
          <w:p w14:paraId="2F886F35" w14:textId="32194CB1" w:rsidR="00B918D0" w:rsidRPr="00357A6A" w:rsidRDefault="00B918D0" w:rsidP="00357A6A">
            <w:pPr>
              <w:jc w:val="center"/>
              <w:rPr>
                <w:b/>
                <w:bCs/>
                <w:color w:val="FFFFFF" w:themeColor="background1"/>
              </w:rPr>
            </w:pPr>
            <w:r>
              <w:rPr>
                <w:b/>
                <w:bCs/>
                <w:color w:val="FFFFFF" w:themeColor="background1"/>
              </w:rPr>
              <w:t>High</w:t>
            </w:r>
          </w:p>
        </w:tc>
        <w:tc>
          <w:tcPr>
            <w:tcW w:w="5040" w:type="dxa"/>
          </w:tcPr>
          <w:p w14:paraId="201F21B1" w14:textId="18F6A816" w:rsidR="00B918D0" w:rsidRPr="00F360A7" w:rsidRDefault="00B918D0" w:rsidP="00357A6A">
            <w:r>
              <w:t>Coordinate with vendors to determine compatibility roadmap. C</w:t>
            </w:r>
            <w:r w:rsidRPr="00F360A7">
              <w:t>ommunicate known limitations to users.</w:t>
            </w:r>
            <w:r>
              <w:t xml:space="preserve"> </w:t>
            </w:r>
            <w:r w:rsidRPr="00F360A7">
              <w:t>Resolve issues during pilot testing</w:t>
            </w:r>
            <w:r>
              <w:t>, when possible.</w:t>
            </w:r>
          </w:p>
        </w:tc>
      </w:tr>
      <w:tr w:rsidR="00320BCB" w:rsidRPr="00F360A7" w14:paraId="02E522B2" w14:textId="77777777" w:rsidTr="00F360A7">
        <w:tc>
          <w:tcPr>
            <w:tcW w:w="2880" w:type="dxa"/>
          </w:tcPr>
          <w:p w14:paraId="40C7734F" w14:textId="380EA88C" w:rsidR="00320BCB" w:rsidRPr="00F360A7" w:rsidRDefault="00320BCB" w:rsidP="00357A6A">
            <w:r>
              <w:t>Security vulnerabilities during transition</w:t>
            </w:r>
          </w:p>
        </w:tc>
        <w:tc>
          <w:tcPr>
            <w:tcW w:w="1440" w:type="dxa"/>
            <w:shd w:val="clear" w:color="auto" w:fill="FF504A"/>
            <w:vAlign w:val="center"/>
          </w:tcPr>
          <w:p w14:paraId="3E9F6EFF" w14:textId="600875D4" w:rsidR="00320BCB" w:rsidRPr="00357A6A" w:rsidRDefault="00320BCB" w:rsidP="00357A6A">
            <w:pPr>
              <w:jc w:val="center"/>
              <w:rPr>
                <w:b/>
                <w:bCs/>
                <w:color w:val="FFFFFF" w:themeColor="background1"/>
              </w:rPr>
            </w:pPr>
            <w:r w:rsidRPr="00357A6A">
              <w:rPr>
                <w:b/>
                <w:bCs/>
                <w:color w:val="FFFFFF" w:themeColor="background1"/>
              </w:rPr>
              <w:t>High</w:t>
            </w:r>
          </w:p>
        </w:tc>
        <w:tc>
          <w:tcPr>
            <w:tcW w:w="5040" w:type="dxa"/>
          </w:tcPr>
          <w:p w14:paraId="0572098D" w14:textId="5CED6987" w:rsidR="00320BCB" w:rsidRPr="00F360A7" w:rsidRDefault="00320BCB" w:rsidP="00357A6A">
            <w:r>
              <w:t>Apply patches and updates in a timely manner. Monitor systems closely for suspicious activity.</w:t>
            </w:r>
          </w:p>
        </w:tc>
      </w:tr>
      <w:tr w:rsidR="00320BCB" w:rsidRPr="00F360A7" w14:paraId="511D2377" w14:textId="77777777" w:rsidTr="00320BCB">
        <w:tc>
          <w:tcPr>
            <w:tcW w:w="2880" w:type="dxa"/>
          </w:tcPr>
          <w:p w14:paraId="103916EB" w14:textId="47E285C7" w:rsidR="00320BCB" w:rsidRPr="00F360A7" w:rsidRDefault="00320BCB" w:rsidP="00357A6A">
            <w:r>
              <w:t>Limited IT staff capacity</w:t>
            </w:r>
          </w:p>
        </w:tc>
        <w:tc>
          <w:tcPr>
            <w:tcW w:w="1440" w:type="dxa"/>
            <w:shd w:val="clear" w:color="auto" w:fill="FFE159"/>
            <w:vAlign w:val="center"/>
          </w:tcPr>
          <w:p w14:paraId="7930E552" w14:textId="635F9AF7" w:rsidR="00320BCB" w:rsidRPr="00357A6A" w:rsidRDefault="00320BCB" w:rsidP="00357A6A">
            <w:pPr>
              <w:jc w:val="center"/>
              <w:rPr>
                <w:b/>
                <w:bCs/>
              </w:rPr>
            </w:pPr>
            <w:r w:rsidRPr="00357A6A">
              <w:rPr>
                <w:b/>
                <w:bCs/>
              </w:rPr>
              <w:t>Medium</w:t>
            </w:r>
          </w:p>
        </w:tc>
        <w:tc>
          <w:tcPr>
            <w:tcW w:w="5040" w:type="dxa"/>
          </w:tcPr>
          <w:p w14:paraId="63DA8495" w14:textId="4415061A" w:rsidR="00320BCB" w:rsidRPr="00F360A7" w:rsidRDefault="00320BCB" w:rsidP="00357A6A">
            <w:r>
              <w:t>Outsource parts of the upgrade to MSP. Prioritize critical systems and stagger upgrades to balance workload.</w:t>
            </w:r>
          </w:p>
        </w:tc>
      </w:tr>
      <w:tr w:rsidR="00320BCB" w:rsidRPr="00F360A7" w14:paraId="3DCC8EAF" w14:textId="77777777" w:rsidTr="00320BCB">
        <w:tc>
          <w:tcPr>
            <w:tcW w:w="2880" w:type="dxa"/>
          </w:tcPr>
          <w:p w14:paraId="56FA9371" w14:textId="2B1A1DB1" w:rsidR="00320BCB" w:rsidRPr="00F360A7" w:rsidRDefault="00320BCB" w:rsidP="00357A6A">
            <w:r>
              <w:lastRenderedPageBreak/>
              <w:t>Insufficient backup and recovery plans</w:t>
            </w:r>
          </w:p>
        </w:tc>
        <w:tc>
          <w:tcPr>
            <w:tcW w:w="1440" w:type="dxa"/>
            <w:shd w:val="clear" w:color="auto" w:fill="FFE159"/>
            <w:vAlign w:val="center"/>
          </w:tcPr>
          <w:p w14:paraId="65F72BEB" w14:textId="5AFD7A54" w:rsidR="00320BCB" w:rsidRPr="00357A6A" w:rsidRDefault="00320BCB" w:rsidP="00357A6A">
            <w:pPr>
              <w:jc w:val="center"/>
              <w:rPr>
                <w:b/>
                <w:bCs/>
              </w:rPr>
            </w:pPr>
            <w:r w:rsidRPr="00357A6A">
              <w:rPr>
                <w:b/>
                <w:bCs/>
              </w:rPr>
              <w:t>Medium</w:t>
            </w:r>
          </w:p>
        </w:tc>
        <w:tc>
          <w:tcPr>
            <w:tcW w:w="5040" w:type="dxa"/>
          </w:tcPr>
          <w:p w14:paraId="565CB65A" w14:textId="7597DBF9" w:rsidR="00320BCB" w:rsidRPr="00F360A7" w:rsidRDefault="00320BCB" w:rsidP="00357A6A">
            <w:r>
              <w:t>Ensure all critical data is backed up and test the recovery process. Use rollback mechanisms to revert to Windows 10, if severe issues arise.</w:t>
            </w:r>
          </w:p>
        </w:tc>
      </w:tr>
      <w:tr w:rsidR="00320BCB" w:rsidRPr="00F360A7" w14:paraId="7D16943C" w14:textId="77777777" w:rsidTr="00320BCB">
        <w:tc>
          <w:tcPr>
            <w:tcW w:w="2880" w:type="dxa"/>
          </w:tcPr>
          <w:p w14:paraId="5A3D1BDC" w14:textId="23F1CA59" w:rsidR="00320BCB" w:rsidRDefault="00320BCB" w:rsidP="00357A6A">
            <w:r>
              <w:t>Incompatibility with printing devices (e.g., printers, scanners, etc.)</w:t>
            </w:r>
          </w:p>
        </w:tc>
        <w:tc>
          <w:tcPr>
            <w:tcW w:w="1440" w:type="dxa"/>
            <w:shd w:val="clear" w:color="auto" w:fill="FFE159"/>
            <w:vAlign w:val="center"/>
          </w:tcPr>
          <w:p w14:paraId="7562BB5C" w14:textId="4F90238B" w:rsidR="00320BCB" w:rsidRPr="00357A6A" w:rsidRDefault="00320BCB" w:rsidP="00357A6A">
            <w:pPr>
              <w:jc w:val="center"/>
              <w:rPr>
                <w:b/>
                <w:bCs/>
              </w:rPr>
            </w:pPr>
            <w:r w:rsidRPr="00357A6A">
              <w:rPr>
                <w:b/>
                <w:bCs/>
              </w:rPr>
              <w:t>Medium</w:t>
            </w:r>
          </w:p>
        </w:tc>
        <w:tc>
          <w:tcPr>
            <w:tcW w:w="5040" w:type="dxa"/>
          </w:tcPr>
          <w:p w14:paraId="67BA9C99" w14:textId="4617539E" w:rsidR="00320BCB" w:rsidRDefault="00320BCB" w:rsidP="00357A6A">
            <w:r>
              <w:t>Test peripheral compatibility during the pilot phase. Update or replace drivers, as needed. Budget for replacement of unsupported systems.</w:t>
            </w:r>
          </w:p>
        </w:tc>
      </w:tr>
      <w:tr w:rsidR="00320BCB" w:rsidRPr="00F360A7" w14:paraId="690100BD" w14:textId="77777777" w:rsidTr="00F360A7">
        <w:tc>
          <w:tcPr>
            <w:tcW w:w="2880" w:type="dxa"/>
          </w:tcPr>
          <w:p w14:paraId="3B861D83" w14:textId="153225F8" w:rsidR="00320BCB" w:rsidRDefault="00320BCB" w:rsidP="00357A6A">
            <w:r w:rsidRPr="00F360A7">
              <w:t>User disruption</w:t>
            </w:r>
            <w:r>
              <w:t xml:space="preserve"> </w:t>
            </w:r>
            <w:r w:rsidRPr="00F360A7">
              <w:t>during rollout</w:t>
            </w:r>
          </w:p>
        </w:tc>
        <w:tc>
          <w:tcPr>
            <w:tcW w:w="1440" w:type="dxa"/>
            <w:shd w:val="clear" w:color="auto" w:fill="3DD49A"/>
            <w:vAlign w:val="center"/>
          </w:tcPr>
          <w:p w14:paraId="23270209" w14:textId="1D58C1A7" w:rsidR="00320BCB" w:rsidRPr="00357A6A" w:rsidRDefault="00320BCB" w:rsidP="00357A6A">
            <w:pPr>
              <w:jc w:val="center"/>
              <w:rPr>
                <w:b/>
                <w:bCs/>
                <w:color w:val="FFFFFF" w:themeColor="background1"/>
              </w:rPr>
            </w:pPr>
            <w:r w:rsidRPr="00357A6A">
              <w:rPr>
                <w:b/>
                <w:bCs/>
                <w:color w:val="FFFFFF" w:themeColor="background1"/>
              </w:rPr>
              <w:t>Low</w:t>
            </w:r>
          </w:p>
        </w:tc>
        <w:tc>
          <w:tcPr>
            <w:tcW w:w="5040" w:type="dxa"/>
          </w:tcPr>
          <w:p w14:paraId="2A85C5C6" w14:textId="39A8FBAC" w:rsidR="00320BCB" w:rsidRDefault="00320BCB" w:rsidP="00357A6A">
            <w:r w:rsidRPr="00F360A7">
              <w:t xml:space="preserve">Provide thorough training and schedule upgrades during </w:t>
            </w:r>
            <w:r w:rsidR="006210F9">
              <w:t xml:space="preserve">opportune </w:t>
            </w:r>
            <w:r w:rsidRPr="00F360A7">
              <w:t>hours.</w:t>
            </w:r>
          </w:p>
        </w:tc>
      </w:tr>
      <w:tr w:rsidR="00320BCB" w:rsidRPr="00F360A7" w14:paraId="7F79FBE1" w14:textId="77777777" w:rsidTr="00F360A7">
        <w:tc>
          <w:tcPr>
            <w:tcW w:w="2880" w:type="dxa"/>
          </w:tcPr>
          <w:p w14:paraId="4B9ACA22" w14:textId="3FE75C6E" w:rsidR="00320BCB" w:rsidRPr="00F360A7" w:rsidRDefault="00320BCB" w:rsidP="00357A6A">
            <w:r>
              <w:t>Insufficient user training</w:t>
            </w:r>
          </w:p>
        </w:tc>
        <w:tc>
          <w:tcPr>
            <w:tcW w:w="1440" w:type="dxa"/>
            <w:shd w:val="clear" w:color="auto" w:fill="3DD49A"/>
            <w:vAlign w:val="center"/>
          </w:tcPr>
          <w:p w14:paraId="0C495CBC" w14:textId="4E2B2501" w:rsidR="00320BCB" w:rsidRPr="00357A6A" w:rsidRDefault="00320BCB" w:rsidP="00357A6A">
            <w:pPr>
              <w:jc w:val="center"/>
              <w:rPr>
                <w:b/>
                <w:bCs/>
                <w:color w:val="FFFFFF" w:themeColor="background1"/>
              </w:rPr>
            </w:pPr>
            <w:r w:rsidRPr="00357A6A">
              <w:rPr>
                <w:b/>
                <w:bCs/>
                <w:color w:val="FFFFFF" w:themeColor="background1"/>
              </w:rPr>
              <w:t>Low</w:t>
            </w:r>
          </w:p>
        </w:tc>
        <w:tc>
          <w:tcPr>
            <w:tcW w:w="5040" w:type="dxa"/>
          </w:tcPr>
          <w:p w14:paraId="75775EBA" w14:textId="0C35E394" w:rsidR="00320BCB" w:rsidRPr="00F360A7" w:rsidRDefault="00320BCB" w:rsidP="00357A6A">
            <w:r>
              <w:t>Provide comprehensive training sessions and designate “super users” or department champions to provide peer support.</w:t>
            </w:r>
          </w:p>
        </w:tc>
      </w:tr>
    </w:tbl>
    <w:p w14:paraId="2E7DD5B7" w14:textId="462812D1" w:rsidR="00345DCB" w:rsidRPr="00F360A7" w:rsidRDefault="00345DCB" w:rsidP="002D61D8">
      <w:pPr>
        <w:pStyle w:val="Heading1"/>
      </w:pPr>
      <w:r w:rsidRPr="00F360A7">
        <w:t>Conclusion</w:t>
      </w:r>
    </w:p>
    <w:p w14:paraId="24B19711" w14:textId="541CFEEF" w:rsidR="00455260" w:rsidRDefault="00345DCB" w:rsidP="00357A6A">
      <w:r w:rsidRPr="00F360A7">
        <w:t>Upgrading to Windows 11 is a step to</w:t>
      </w:r>
      <w:r w:rsidR="00F360A7" w:rsidRPr="00F360A7">
        <w:t>ward</w:t>
      </w:r>
      <w:r w:rsidRPr="00F360A7">
        <w:t xml:space="preserve"> enhanc</w:t>
      </w:r>
      <w:r w:rsidR="00F360A7" w:rsidRPr="00F360A7">
        <w:t>ing</w:t>
      </w:r>
      <w:r w:rsidRPr="00F360A7">
        <w:t xml:space="preserve"> the </w:t>
      </w:r>
      <w:r w:rsidR="00423EC2">
        <w:t>organization’s</w:t>
      </w:r>
      <w:r w:rsidR="00F360A7" w:rsidRPr="00F360A7">
        <w:t xml:space="preserve"> </w:t>
      </w:r>
      <w:r w:rsidRPr="00F360A7">
        <w:t xml:space="preserve">security, productivity, and technological capabilities. </w:t>
      </w:r>
      <w:r w:rsidR="00F360A7" w:rsidRPr="00F360A7">
        <w:t xml:space="preserve">Thorough </w:t>
      </w:r>
      <w:r w:rsidRPr="00F360A7">
        <w:t xml:space="preserve">planning and </w:t>
      </w:r>
      <w:r w:rsidR="00F360A7" w:rsidRPr="00F360A7">
        <w:t xml:space="preserve">implementation </w:t>
      </w:r>
      <w:r w:rsidRPr="00F360A7">
        <w:t>will ensure a smooth transition with minimal disruption.</w:t>
      </w:r>
    </w:p>
    <w:p w14:paraId="56640205" w14:textId="77777777" w:rsidR="00FC4352" w:rsidRDefault="00FC4352" w:rsidP="00357A6A"/>
    <w:p w14:paraId="6F6CA8E8" w14:textId="77777777" w:rsidR="00FC4352" w:rsidRDefault="00FC4352" w:rsidP="00357A6A"/>
    <w:p w14:paraId="1AD331DF" w14:textId="77777777" w:rsidR="00FC4352" w:rsidRDefault="00FC4352" w:rsidP="00357A6A"/>
    <w:p w14:paraId="4B7E11FB" w14:textId="77777777" w:rsidR="00FC4352" w:rsidRDefault="00FC4352" w:rsidP="00357A6A"/>
    <w:p w14:paraId="2836201E" w14:textId="67CE3F90" w:rsidR="004A3E78" w:rsidRDefault="004A3E78" w:rsidP="00357A6A"/>
    <w:p w14:paraId="5C2C9661" w14:textId="77777777" w:rsidR="004A3E78" w:rsidRDefault="004A3E78" w:rsidP="00357A6A"/>
    <w:p w14:paraId="389CCC21" w14:textId="77777777" w:rsidR="004A3E78" w:rsidRDefault="004A3E78" w:rsidP="00357A6A"/>
    <w:p w14:paraId="7B86A3D4" w14:textId="77777777" w:rsidR="004A3E78" w:rsidRDefault="004A3E78" w:rsidP="00357A6A"/>
    <w:p w14:paraId="1BE96D07" w14:textId="77777777" w:rsidR="004A3E78" w:rsidRDefault="004A3E78" w:rsidP="00357A6A"/>
    <w:p w14:paraId="111A2F24" w14:textId="77777777" w:rsidR="004A3E78" w:rsidRDefault="004A3E78" w:rsidP="00357A6A"/>
    <w:p w14:paraId="7397F77B" w14:textId="77777777" w:rsidR="004A3E78" w:rsidRDefault="004A3E78" w:rsidP="00357A6A"/>
    <w:p w14:paraId="58D3E6AA" w14:textId="77777777" w:rsidR="004A3E78" w:rsidRDefault="004A3E78" w:rsidP="00357A6A"/>
    <w:p w14:paraId="73138ACB" w14:textId="77777777" w:rsidR="004A3E78" w:rsidRDefault="004A3E78" w:rsidP="00357A6A"/>
    <w:p w14:paraId="261E76F7" w14:textId="77777777" w:rsidR="004A3E78" w:rsidRDefault="004A3E78" w:rsidP="00357A6A"/>
    <w:p w14:paraId="53B87405" w14:textId="77777777" w:rsidR="004A3E78" w:rsidRDefault="004A3E78" w:rsidP="00357A6A"/>
    <w:p w14:paraId="67FBF672" w14:textId="77777777" w:rsidR="004A3E78" w:rsidRDefault="004A3E78" w:rsidP="00357A6A"/>
    <w:p w14:paraId="0FB41E34" w14:textId="77777777" w:rsidR="004A3E78" w:rsidRDefault="004A3E78" w:rsidP="00357A6A"/>
    <w:p w14:paraId="36BE6A63" w14:textId="02DA5D06" w:rsidR="00FC4352" w:rsidRPr="00FC4352" w:rsidRDefault="00FC4352" w:rsidP="00FC4352">
      <w:pPr>
        <w:rPr>
          <w:i/>
          <w:iCs/>
          <w:color w:val="A6A6A6" w:themeColor="background1" w:themeShade="A6"/>
          <w:sz w:val="16"/>
          <w:szCs w:val="16"/>
        </w:rPr>
      </w:pPr>
      <w:r w:rsidRPr="00FC4352">
        <w:rPr>
          <w:b/>
          <w:bCs/>
          <w:i/>
          <w:iCs/>
          <w:color w:val="A6A6A6" w:themeColor="background1" w:themeShade="A6"/>
          <w:sz w:val="16"/>
          <w:szCs w:val="16"/>
        </w:rPr>
        <w:t>Disclaimer</w:t>
      </w:r>
      <w:r>
        <w:rPr>
          <w:b/>
          <w:bCs/>
          <w:i/>
          <w:iCs/>
          <w:color w:val="A6A6A6" w:themeColor="background1" w:themeShade="A6"/>
          <w:sz w:val="16"/>
          <w:szCs w:val="16"/>
        </w:rPr>
        <w:br/>
      </w:r>
      <w:r w:rsidRPr="00FC4352">
        <w:rPr>
          <w:i/>
          <w:iCs/>
          <w:color w:val="A6A6A6" w:themeColor="background1" w:themeShade="A6"/>
          <w:sz w:val="16"/>
          <w:szCs w:val="16"/>
        </w:rPr>
        <w:t>This resource is for information purposes only. Businesses may use this resource to assist with their project management practices, but are encouraged to evaluate the risks and coordinate with appropriate counsel before acting on ideas from this document.</w:t>
      </w:r>
    </w:p>
    <w:sectPr w:rsidR="00FC4352" w:rsidRPr="00FC435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6D3F" w14:textId="77777777" w:rsidR="00357A6A" w:rsidRDefault="00357A6A" w:rsidP="00357A6A">
      <w:r>
        <w:separator/>
      </w:r>
    </w:p>
    <w:p w14:paraId="1A8D50A4" w14:textId="77777777" w:rsidR="000F6FB8" w:rsidRDefault="000F6FB8" w:rsidP="00357A6A"/>
  </w:endnote>
  <w:endnote w:type="continuationSeparator" w:id="0">
    <w:p w14:paraId="46CAAC4C" w14:textId="77777777" w:rsidR="00357A6A" w:rsidRDefault="00357A6A" w:rsidP="00357A6A">
      <w:r>
        <w:continuationSeparator/>
      </w:r>
    </w:p>
    <w:p w14:paraId="0CDBB7B1" w14:textId="77777777" w:rsidR="000F6FB8" w:rsidRDefault="000F6FB8" w:rsidP="00357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612817"/>
      <w:docPartObj>
        <w:docPartGallery w:val="Page Numbers (Bottom of Page)"/>
        <w:docPartUnique/>
      </w:docPartObj>
    </w:sdtPr>
    <w:sdtEndPr>
      <w:rPr>
        <w:noProof/>
      </w:rPr>
    </w:sdtEndPr>
    <w:sdtContent>
      <w:p w14:paraId="2714335C" w14:textId="07C7C78D" w:rsidR="000F6FB8" w:rsidRDefault="00FF0DCD" w:rsidP="007D7163">
        <w:pPr>
          <w:pStyle w:val="Footer"/>
        </w:pPr>
        <w:r>
          <w:rPr>
            <w:noProof/>
          </w:rPr>
          <w:t xml:space="preserve">Sample Project Plan  |  </w:t>
        </w:r>
        <w:r>
          <w:t xml:space="preserve">© </w:t>
        </w:r>
        <w:r w:rsidR="00FC4352">
          <w:t>Tandem</w:t>
        </w:r>
        <w:r>
          <w:t>, LLC 2025</w:t>
        </w:r>
        <w:r w:rsidR="00357A6A" w:rsidRPr="00357A6A">
          <w:ptab w:relativeTo="margin" w:alignment="right" w:leader="none"/>
        </w:r>
        <w:r w:rsidR="00357A6A" w:rsidRPr="00357A6A">
          <w:fldChar w:fldCharType="begin"/>
        </w:r>
        <w:r w:rsidR="00357A6A" w:rsidRPr="00357A6A">
          <w:instrText xml:space="preserve"> PAGE   \* MERGEFORMAT </w:instrText>
        </w:r>
        <w:r w:rsidR="00357A6A" w:rsidRPr="00357A6A">
          <w:fldChar w:fldCharType="separate"/>
        </w:r>
        <w:r w:rsidR="00357A6A" w:rsidRPr="00357A6A">
          <w:rPr>
            <w:noProof/>
          </w:rPr>
          <w:t>2</w:t>
        </w:r>
        <w:r w:rsidR="00357A6A" w:rsidRPr="00357A6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ED10E" w14:textId="77777777" w:rsidR="00357A6A" w:rsidRDefault="00357A6A" w:rsidP="00357A6A">
      <w:r>
        <w:separator/>
      </w:r>
    </w:p>
    <w:p w14:paraId="4B50FE59" w14:textId="77777777" w:rsidR="000F6FB8" w:rsidRDefault="000F6FB8" w:rsidP="00357A6A"/>
  </w:footnote>
  <w:footnote w:type="continuationSeparator" w:id="0">
    <w:p w14:paraId="7505459B" w14:textId="77777777" w:rsidR="00357A6A" w:rsidRDefault="00357A6A" w:rsidP="00357A6A">
      <w:r>
        <w:continuationSeparator/>
      </w:r>
    </w:p>
    <w:p w14:paraId="5C506895" w14:textId="77777777" w:rsidR="000F6FB8" w:rsidRDefault="000F6FB8" w:rsidP="00357A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B2F"/>
    <w:multiLevelType w:val="hybridMultilevel"/>
    <w:tmpl w:val="3E92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C098F"/>
    <w:multiLevelType w:val="multilevel"/>
    <w:tmpl w:val="B15E0D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95561"/>
    <w:multiLevelType w:val="multilevel"/>
    <w:tmpl w:val="611E4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52CD7"/>
    <w:multiLevelType w:val="multilevel"/>
    <w:tmpl w:val="ECC83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D3798"/>
    <w:multiLevelType w:val="hybridMultilevel"/>
    <w:tmpl w:val="1BD4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C4E92"/>
    <w:multiLevelType w:val="multilevel"/>
    <w:tmpl w:val="FF0A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260D6"/>
    <w:multiLevelType w:val="multilevel"/>
    <w:tmpl w:val="646E46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A36B4"/>
    <w:multiLevelType w:val="multilevel"/>
    <w:tmpl w:val="871499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25B1D"/>
    <w:multiLevelType w:val="hybridMultilevel"/>
    <w:tmpl w:val="53F2C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70DA6"/>
    <w:multiLevelType w:val="hybridMultilevel"/>
    <w:tmpl w:val="A8A67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4560C8"/>
    <w:multiLevelType w:val="hybridMultilevel"/>
    <w:tmpl w:val="3586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32E5E"/>
    <w:multiLevelType w:val="hybridMultilevel"/>
    <w:tmpl w:val="0E5AE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C747E"/>
    <w:multiLevelType w:val="hybridMultilevel"/>
    <w:tmpl w:val="A50C3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DB24D5"/>
    <w:multiLevelType w:val="hybridMultilevel"/>
    <w:tmpl w:val="5060F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42043"/>
    <w:multiLevelType w:val="multilevel"/>
    <w:tmpl w:val="BDB439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A20E24"/>
    <w:multiLevelType w:val="multilevel"/>
    <w:tmpl w:val="65F24D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20490D"/>
    <w:multiLevelType w:val="hybridMultilevel"/>
    <w:tmpl w:val="7628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B1172"/>
    <w:multiLevelType w:val="multilevel"/>
    <w:tmpl w:val="C60410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362614"/>
    <w:multiLevelType w:val="multilevel"/>
    <w:tmpl w:val="0E9A6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F73A1A"/>
    <w:multiLevelType w:val="hybridMultilevel"/>
    <w:tmpl w:val="8EA60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202142">
    <w:abstractNumId w:val="5"/>
  </w:num>
  <w:num w:numId="2" w16cid:durableId="191579786">
    <w:abstractNumId w:val="2"/>
  </w:num>
  <w:num w:numId="3" w16cid:durableId="2000844931">
    <w:abstractNumId w:val="14"/>
  </w:num>
  <w:num w:numId="4" w16cid:durableId="758062250">
    <w:abstractNumId w:val="3"/>
  </w:num>
  <w:num w:numId="5" w16cid:durableId="1674070511">
    <w:abstractNumId w:val="17"/>
  </w:num>
  <w:num w:numId="6" w16cid:durableId="2017149534">
    <w:abstractNumId w:val="7"/>
  </w:num>
  <w:num w:numId="7" w16cid:durableId="1234004391">
    <w:abstractNumId w:val="15"/>
  </w:num>
  <w:num w:numId="8" w16cid:durableId="1569462036">
    <w:abstractNumId w:val="18"/>
  </w:num>
  <w:num w:numId="9" w16cid:durableId="605888510">
    <w:abstractNumId w:val="1"/>
  </w:num>
  <w:num w:numId="10" w16cid:durableId="367031755">
    <w:abstractNumId w:val="6"/>
  </w:num>
  <w:num w:numId="11" w16cid:durableId="706181567">
    <w:abstractNumId w:val="16"/>
  </w:num>
  <w:num w:numId="12" w16cid:durableId="1265074081">
    <w:abstractNumId w:val="4"/>
  </w:num>
  <w:num w:numId="13" w16cid:durableId="2011639408">
    <w:abstractNumId w:val="11"/>
  </w:num>
  <w:num w:numId="14" w16cid:durableId="1366566709">
    <w:abstractNumId w:val="13"/>
  </w:num>
  <w:num w:numId="15" w16cid:durableId="1423407815">
    <w:abstractNumId w:val="19"/>
  </w:num>
  <w:num w:numId="16" w16cid:durableId="993534297">
    <w:abstractNumId w:val="8"/>
  </w:num>
  <w:num w:numId="17" w16cid:durableId="1835418558">
    <w:abstractNumId w:val="9"/>
  </w:num>
  <w:num w:numId="18" w16cid:durableId="946473633">
    <w:abstractNumId w:val="0"/>
  </w:num>
  <w:num w:numId="19" w16cid:durableId="1289169626">
    <w:abstractNumId w:val="10"/>
  </w:num>
  <w:num w:numId="20" w16cid:durableId="879971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CB"/>
    <w:rsid w:val="00031FC6"/>
    <w:rsid w:val="000F6FB8"/>
    <w:rsid w:val="00196362"/>
    <w:rsid w:val="00235498"/>
    <w:rsid w:val="00276FD8"/>
    <w:rsid w:val="00297330"/>
    <w:rsid w:val="002D61D8"/>
    <w:rsid w:val="00320BCB"/>
    <w:rsid w:val="00345DCB"/>
    <w:rsid w:val="00357A6A"/>
    <w:rsid w:val="00361CE3"/>
    <w:rsid w:val="00423EC2"/>
    <w:rsid w:val="00455260"/>
    <w:rsid w:val="004A3E78"/>
    <w:rsid w:val="004E5912"/>
    <w:rsid w:val="006210F9"/>
    <w:rsid w:val="006C26D7"/>
    <w:rsid w:val="007D7163"/>
    <w:rsid w:val="00862C72"/>
    <w:rsid w:val="008A1D5C"/>
    <w:rsid w:val="008E25C5"/>
    <w:rsid w:val="009E0061"/>
    <w:rsid w:val="009E45FC"/>
    <w:rsid w:val="009E5A63"/>
    <w:rsid w:val="00A65752"/>
    <w:rsid w:val="00B211D9"/>
    <w:rsid w:val="00B4691E"/>
    <w:rsid w:val="00B66517"/>
    <w:rsid w:val="00B918D0"/>
    <w:rsid w:val="00BA2FD9"/>
    <w:rsid w:val="00C2475F"/>
    <w:rsid w:val="00D4650E"/>
    <w:rsid w:val="00DE1CC7"/>
    <w:rsid w:val="00E33F7B"/>
    <w:rsid w:val="00F232EC"/>
    <w:rsid w:val="00F360A7"/>
    <w:rsid w:val="00F55659"/>
    <w:rsid w:val="00FC4352"/>
    <w:rsid w:val="00FF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A2017F"/>
  <w15:chartTrackingRefBased/>
  <w15:docId w15:val="{9DD4EB53-DA8B-4EAA-9075-5782A6A0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A6A"/>
    <w:rPr>
      <w:rFonts w:ascii="Roboto" w:hAnsi="Roboto" w:cs="Arial"/>
      <w:color w:val="292929"/>
      <w:sz w:val="20"/>
      <w:szCs w:val="20"/>
    </w:rPr>
  </w:style>
  <w:style w:type="paragraph" w:styleId="Heading1">
    <w:name w:val="heading 1"/>
    <w:basedOn w:val="Normal"/>
    <w:next w:val="Normal"/>
    <w:link w:val="Heading1Char"/>
    <w:uiPriority w:val="9"/>
    <w:qFormat/>
    <w:rsid w:val="002D61D8"/>
    <w:pPr>
      <w:keepNext/>
      <w:keepLines/>
      <w:spacing w:before="360" w:after="80"/>
      <w:outlineLvl w:val="0"/>
    </w:pPr>
    <w:rPr>
      <w:rFonts w:eastAsiaTheme="majorEastAsia"/>
      <w:color w:val="0A3266"/>
      <w:sz w:val="36"/>
      <w:szCs w:val="36"/>
    </w:rPr>
  </w:style>
  <w:style w:type="paragraph" w:styleId="Heading2">
    <w:name w:val="heading 2"/>
    <w:basedOn w:val="Normal"/>
    <w:next w:val="Normal"/>
    <w:link w:val="Heading2Char"/>
    <w:uiPriority w:val="9"/>
    <w:unhideWhenUsed/>
    <w:qFormat/>
    <w:rsid w:val="002D61D8"/>
    <w:pPr>
      <w:keepNext/>
      <w:keepLines/>
      <w:spacing w:before="160" w:after="80"/>
      <w:outlineLvl w:val="1"/>
    </w:pPr>
    <w:rPr>
      <w:rFonts w:eastAsiaTheme="majorEastAsia"/>
      <w:color w:val="0A3266"/>
      <w:sz w:val="28"/>
      <w:szCs w:val="28"/>
    </w:rPr>
  </w:style>
  <w:style w:type="paragraph" w:styleId="Heading3">
    <w:name w:val="heading 3"/>
    <w:basedOn w:val="Heading2"/>
    <w:next w:val="Normal"/>
    <w:link w:val="Heading3Char"/>
    <w:uiPriority w:val="9"/>
    <w:unhideWhenUsed/>
    <w:qFormat/>
    <w:rsid w:val="002D61D8"/>
    <w:pPr>
      <w:outlineLvl w:val="2"/>
    </w:pPr>
    <w:rPr>
      <w:sz w:val="22"/>
      <w:szCs w:val="22"/>
    </w:rPr>
  </w:style>
  <w:style w:type="paragraph" w:styleId="Heading4">
    <w:name w:val="heading 4"/>
    <w:basedOn w:val="Normal"/>
    <w:next w:val="Normal"/>
    <w:link w:val="Heading4Char"/>
    <w:uiPriority w:val="9"/>
    <w:semiHidden/>
    <w:unhideWhenUsed/>
    <w:qFormat/>
    <w:rsid w:val="00345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1D8"/>
    <w:rPr>
      <w:rFonts w:ascii="Roboto" w:eastAsiaTheme="majorEastAsia" w:hAnsi="Roboto" w:cs="Arial"/>
      <w:color w:val="0A3266"/>
      <w:sz w:val="36"/>
      <w:szCs w:val="36"/>
    </w:rPr>
  </w:style>
  <w:style w:type="character" w:customStyle="1" w:styleId="Heading2Char">
    <w:name w:val="Heading 2 Char"/>
    <w:basedOn w:val="DefaultParagraphFont"/>
    <w:link w:val="Heading2"/>
    <w:uiPriority w:val="9"/>
    <w:rsid w:val="002D61D8"/>
    <w:rPr>
      <w:rFonts w:ascii="Roboto" w:eastAsiaTheme="majorEastAsia" w:hAnsi="Roboto" w:cs="Arial"/>
      <w:color w:val="0A3266"/>
      <w:sz w:val="28"/>
      <w:szCs w:val="28"/>
    </w:rPr>
  </w:style>
  <w:style w:type="character" w:customStyle="1" w:styleId="Heading3Char">
    <w:name w:val="Heading 3 Char"/>
    <w:basedOn w:val="DefaultParagraphFont"/>
    <w:link w:val="Heading3"/>
    <w:uiPriority w:val="9"/>
    <w:rsid w:val="002D61D8"/>
    <w:rPr>
      <w:rFonts w:ascii="Roboto" w:eastAsiaTheme="majorEastAsia" w:hAnsi="Roboto" w:cs="Arial"/>
      <w:color w:val="0A3266"/>
    </w:rPr>
  </w:style>
  <w:style w:type="character" w:customStyle="1" w:styleId="Heading4Char">
    <w:name w:val="Heading 4 Char"/>
    <w:basedOn w:val="DefaultParagraphFont"/>
    <w:link w:val="Heading4"/>
    <w:uiPriority w:val="9"/>
    <w:semiHidden/>
    <w:rsid w:val="00345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CB"/>
    <w:rPr>
      <w:rFonts w:eastAsiaTheme="majorEastAsia" w:cstheme="majorBidi"/>
      <w:color w:val="272727" w:themeColor="text1" w:themeTint="D8"/>
    </w:rPr>
  </w:style>
  <w:style w:type="paragraph" w:styleId="Title">
    <w:name w:val="Title"/>
    <w:basedOn w:val="Normal"/>
    <w:next w:val="Normal"/>
    <w:link w:val="TitleChar"/>
    <w:uiPriority w:val="10"/>
    <w:qFormat/>
    <w:rsid w:val="009E45FC"/>
    <w:pPr>
      <w:spacing w:after="80" w:line="240" w:lineRule="auto"/>
      <w:contextualSpacing/>
    </w:pPr>
    <w:rPr>
      <w:rFonts w:eastAsiaTheme="majorEastAsia"/>
      <w:color w:val="0A3266"/>
      <w:kern w:val="28"/>
      <w:sz w:val="48"/>
      <w:szCs w:val="48"/>
    </w:rPr>
  </w:style>
  <w:style w:type="character" w:customStyle="1" w:styleId="TitleChar">
    <w:name w:val="Title Char"/>
    <w:basedOn w:val="DefaultParagraphFont"/>
    <w:link w:val="Title"/>
    <w:uiPriority w:val="10"/>
    <w:rsid w:val="009E45FC"/>
    <w:rPr>
      <w:rFonts w:ascii="Roboto" w:eastAsiaTheme="majorEastAsia" w:hAnsi="Roboto" w:cs="Arial"/>
      <w:color w:val="0A3266"/>
      <w:kern w:val="28"/>
      <w:sz w:val="48"/>
      <w:szCs w:val="48"/>
    </w:rPr>
  </w:style>
  <w:style w:type="paragraph" w:styleId="Subtitle">
    <w:name w:val="Subtitle"/>
    <w:next w:val="Normal"/>
    <w:link w:val="SubtitleChar"/>
    <w:uiPriority w:val="11"/>
    <w:qFormat/>
    <w:rsid w:val="00297330"/>
    <w:rPr>
      <w:rFonts w:ascii="Roboto" w:eastAsiaTheme="majorEastAsia" w:hAnsi="Roboto" w:cs="Arial"/>
      <w:b/>
      <w:bCs/>
      <w:color w:val="0A3266"/>
      <w:spacing w:val="80"/>
    </w:rPr>
  </w:style>
  <w:style w:type="character" w:customStyle="1" w:styleId="SubtitleChar">
    <w:name w:val="Subtitle Char"/>
    <w:basedOn w:val="DefaultParagraphFont"/>
    <w:link w:val="Subtitle"/>
    <w:uiPriority w:val="11"/>
    <w:rsid w:val="00297330"/>
    <w:rPr>
      <w:rFonts w:ascii="Roboto" w:eastAsiaTheme="majorEastAsia" w:hAnsi="Roboto" w:cs="Arial"/>
      <w:b/>
      <w:bCs/>
      <w:color w:val="0A3266"/>
      <w:spacing w:val="80"/>
    </w:rPr>
  </w:style>
  <w:style w:type="paragraph" w:styleId="Quote">
    <w:name w:val="Quote"/>
    <w:basedOn w:val="Normal"/>
    <w:next w:val="Normal"/>
    <w:link w:val="QuoteChar"/>
    <w:uiPriority w:val="29"/>
    <w:qFormat/>
    <w:rsid w:val="00345DCB"/>
    <w:pPr>
      <w:spacing w:before="160"/>
      <w:jc w:val="center"/>
    </w:pPr>
    <w:rPr>
      <w:i/>
      <w:iCs/>
      <w:color w:val="404040" w:themeColor="text1" w:themeTint="BF"/>
    </w:rPr>
  </w:style>
  <w:style w:type="character" w:customStyle="1" w:styleId="QuoteChar">
    <w:name w:val="Quote Char"/>
    <w:basedOn w:val="DefaultParagraphFont"/>
    <w:link w:val="Quote"/>
    <w:uiPriority w:val="29"/>
    <w:rsid w:val="00345DCB"/>
    <w:rPr>
      <w:i/>
      <w:iCs/>
      <w:color w:val="404040" w:themeColor="text1" w:themeTint="BF"/>
    </w:rPr>
  </w:style>
  <w:style w:type="paragraph" w:styleId="ListParagraph">
    <w:name w:val="List Paragraph"/>
    <w:basedOn w:val="Normal"/>
    <w:uiPriority w:val="34"/>
    <w:qFormat/>
    <w:rsid w:val="00345DCB"/>
    <w:pPr>
      <w:ind w:left="720"/>
      <w:contextualSpacing/>
    </w:pPr>
  </w:style>
  <w:style w:type="character" w:styleId="IntenseEmphasis">
    <w:name w:val="Intense Emphasis"/>
    <w:basedOn w:val="DefaultParagraphFont"/>
    <w:uiPriority w:val="21"/>
    <w:qFormat/>
    <w:rsid w:val="00345DCB"/>
    <w:rPr>
      <w:i/>
      <w:iCs/>
      <w:color w:val="0F4761" w:themeColor="accent1" w:themeShade="BF"/>
    </w:rPr>
  </w:style>
  <w:style w:type="paragraph" w:styleId="IntenseQuote">
    <w:name w:val="Intense Quote"/>
    <w:basedOn w:val="Normal"/>
    <w:next w:val="Normal"/>
    <w:link w:val="IntenseQuoteChar"/>
    <w:uiPriority w:val="30"/>
    <w:qFormat/>
    <w:rsid w:val="00345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CB"/>
    <w:rPr>
      <w:i/>
      <w:iCs/>
      <w:color w:val="0F4761" w:themeColor="accent1" w:themeShade="BF"/>
    </w:rPr>
  </w:style>
  <w:style w:type="character" w:styleId="IntenseReference">
    <w:name w:val="Intense Reference"/>
    <w:basedOn w:val="DefaultParagraphFont"/>
    <w:uiPriority w:val="32"/>
    <w:qFormat/>
    <w:rsid w:val="00345DCB"/>
    <w:rPr>
      <w:b/>
      <w:bCs/>
      <w:smallCaps/>
      <w:color w:val="0F4761" w:themeColor="accent1" w:themeShade="BF"/>
      <w:spacing w:val="5"/>
    </w:rPr>
  </w:style>
  <w:style w:type="table" w:styleId="TableGrid">
    <w:name w:val="Table Grid"/>
    <w:basedOn w:val="TableNormal"/>
    <w:uiPriority w:val="39"/>
    <w:rsid w:val="0034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A6A"/>
  </w:style>
  <w:style w:type="paragraph" w:styleId="Footer">
    <w:name w:val="footer"/>
    <w:basedOn w:val="Normal"/>
    <w:link w:val="FooterChar"/>
    <w:uiPriority w:val="99"/>
    <w:unhideWhenUsed/>
    <w:rsid w:val="00357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4926">
      <w:bodyDiv w:val="1"/>
      <w:marLeft w:val="0"/>
      <w:marRight w:val="0"/>
      <w:marTop w:val="0"/>
      <w:marBottom w:val="0"/>
      <w:divBdr>
        <w:top w:val="none" w:sz="0" w:space="0" w:color="auto"/>
        <w:left w:val="none" w:sz="0" w:space="0" w:color="auto"/>
        <w:bottom w:val="none" w:sz="0" w:space="0" w:color="auto"/>
        <w:right w:val="none" w:sz="0" w:space="0" w:color="auto"/>
      </w:divBdr>
    </w:div>
    <w:div w:id="73879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CoNetrix, LLC</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Project Plan</dc:title>
  <dc:subject/>
  <dc:creator>Alyssa Pugh</dc:creator>
  <cp:keywords/>
  <dc:description>Copyright (c) CoNetrix, LLC 2025</dc:description>
  <cp:lastModifiedBy>Alyssa Pugh</cp:lastModifiedBy>
  <cp:revision>24</cp:revision>
  <dcterms:created xsi:type="dcterms:W3CDTF">2025-01-03T15:19:00Z</dcterms:created>
  <dcterms:modified xsi:type="dcterms:W3CDTF">2025-02-24T15:03:00Z</dcterms:modified>
</cp:coreProperties>
</file>